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firstLine="3520" w:firstLineChars="800"/>
        <w:jc w:val="both"/>
        <w:textAlignment w:val="auto"/>
        <w:rPr>
          <w:rFonts w:hint="eastAsia" w:ascii="方正小标宋简体" w:hAnsi="方正小标宋简体" w:eastAsia="方正小标宋简体" w:cs="方正小标宋简体"/>
          <w:sz w:val="44"/>
          <w:szCs w:val="44"/>
        </w:rPr>
      </w:pPr>
      <w:bookmarkStart w:id="1" w:name="_GoBack"/>
      <w:bookmarkEnd w:id="1"/>
      <w:bookmarkStart w:id="0" w:name="_Toc55301131"/>
      <w:r>
        <w:rPr>
          <w:rFonts w:hint="eastAsia" w:ascii="方正小标宋简体" w:hAnsi="方正小标宋简体" w:eastAsia="方正小标宋简体" w:cs="方正小标宋简体"/>
          <w:sz w:val="44"/>
          <w:szCs w:val="44"/>
        </w:rPr>
        <w:t>比选公告</w:t>
      </w:r>
      <w:bookmarkEnd w:id="0"/>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hint="eastAsia" w:ascii="仿宋_GB2312" w:eastAsia="仿宋_GB2312"/>
          <w:sz w:val="32"/>
          <w:szCs w:val="32"/>
        </w:rPr>
        <w:t>川投信息产业集团有限公司（以下简称“川投信产”或“比选人”）拟通过公开比选方式择优选聘“十四五”发展战略与规划编制咨询机构，相关情况如下：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ˎ̥_GB2312" w:eastAsia="黑体" w:cs="宋体"/>
          <w:kern w:val="0"/>
          <w:sz w:val="32"/>
          <w:szCs w:val="32"/>
        </w:rPr>
      </w:pPr>
      <w:r>
        <w:rPr>
          <w:rFonts w:hint="eastAsia" w:ascii="黑体" w:hAnsi="ˎ̥_GB2312" w:eastAsia="黑体" w:cs="宋体"/>
          <w:kern w:val="0"/>
          <w:sz w:val="32"/>
          <w:szCs w:val="32"/>
        </w:rPr>
        <w:t>一、委托的主要工作内容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国企三年改革行动方案》、《对标世界一流管理提升行动》及省国资委、川投集团关于“十四五”战略规划编制工作要求，结合川投信产实际，围绕“未来成为什么样的企业——如何成为这样的企业——如何保障路径可达”三个维度，坚持问题导向、目标导向，在中标后6周内，深入分析川投信产当前现状和存在问题，结合自身实际及内外部环境，通过对标汇聚公司本部及各所属公司共识，清晰拟定川投信产愿景定位、发展方向、实施战略及重点工作清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hint="eastAsia" w:ascii="仿宋_GB2312" w:eastAsia="仿宋_GB2312"/>
          <w:sz w:val="32"/>
          <w:szCs w:val="32"/>
        </w:rPr>
        <w:t>输出《川投信产“十四五”发展战略与规划》及《2030远景目标规划》等主体成果文件和《川投信产“十四五“展战略与规划实施方案》以及《年度分解实施差异分析》、《川投信产产业布局及重点培育产业板块规划》《川投信产管控模式和治理体系优化》《人力资源发展战略规划》等细分成果文件，“十四五”发展战略与规划要体现战略性、前瞻性、创新性和可达性。</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ˎ̥_GB2312" w:eastAsia="黑体" w:cs="宋体"/>
          <w:kern w:val="0"/>
          <w:sz w:val="32"/>
          <w:szCs w:val="32"/>
        </w:rPr>
      </w:pPr>
      <w:r>
        <w:rPr>
          <w:rFonts w:hint="eastAsia" w:ascii="黑体" w:hAnsi="ˎ̥_GB2312" w:eastAsia="黑体" w:cs="宋体"/>
          <w:kern w:val="0"/>
          <w:sz w:val="32"/>
          <w:szCs w:val="32"/>
        </w:rPr>
        <w:t>二、对比选申请人的资格要求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w:t>
      </w:r>
      <w:r>
        <w:rPr>
          <w:rFonts w:hint="eastAsia" w:ascii="仿宋_GB2312" w:eastAsia="仿宋_GB2312"/>
          <w:sz w:val="32"/>
          <w:szCs w:val="32"/>
        </w:rPr>
        <w:t>依法设立5年及以上，具有相应有效的执业资质；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w:t>
      </w:r>
      <w:r>
        <w:rPr>
          <w:rFonts w:hint="eastAsia" w:ascii="仿宋_GB2312" w:eastAsia="仿宋_GB2312"/>
          <w:sz w:val="32"/>
          <w:szCs w:val="32"/>
        </w:rPr>
        <w:t>合法经营、依法执业，遵守法律法规、职业道德和执业准则，最近三年内无仲裁或诉讼介入，未被相关部门明文规定市场禁入；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lang w:eastAsia="zh-CN"/>
        </w:rPr>
        <w:t>）</w:t>
      </w:r>
      <w:r>
        <w:rPr>
          <w:rFonts w:hint="eastAsia" w:ascii="仿宋_GB2312" w:eastAsia="仿宋_GB2312"/>
          <w:sz w:val="32"/>
          <w:szCs w:val="32"/>
        </w:rPr>
        <w:t>近三年提供的中介服务未因重大执业质量等问题受到省国资委通报或行业协会严重处理；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lang w:eastAsia="zh-CN"/>
        </w:rPr>
        <w:t>）</w:t>
      </w:r>
      <w:r>
        <w:rPr>
          <w:rFonts w:hint="eastAsia" w:ascii="仿宋_GB2312" w:eastAsia="仿宋_GB2312"/>
          <w:sz w:val="32"/>
          <w:szCs w:val="32"/>
        </w:rPr>
        <w:t>具有大型产业投资公司及数字经济和电子信息企业同类型的五年发展战略与规划项目经验；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五</w:t>
      </w:r>
      <w:r>
        <w:rPr>
          <w:rFonts w:hint="eastAsia" w:ascii="仿宋_GB2312" w:eastAsia="仿宋_GB2312"/>
          <w:sz w:val="32"/>
          <w:szCs w:val="32"/>
          <w:lang w:eastAsia="zh-CN"/>
        </w:rPr>
        <w:t>）</w:t>
      </w:r>
      <w:r>
        <w:rPr>
          <w:rFonts w:hint="eastAsia" w:ascii="仿宋_GB2312" w:eastAsia="仿宋_GB2312"/>
          <w:sz w:val="32"/>
          <w:szCs w:val="32"/>
        </w:rPr>
        <w:t>与向川投信产提供本次服务无利益冲突；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六</w:t>
      </w:r>
      <w:r>
        <w:rPr>
          <w:rFonts w:hint="eastAsia" w:ascii="仿宋_GB2312" w:eastAsia="仿宋_GB2312"/>
          <w:sz w:val="32"/>
          <w:szCs w:val="32"/>
          <w:lang w:eastAsia="zh-CN"/>
        </w:rPr>
        <w:t>）</w:t>
      </w:r>
      <w:r>
        <w:rPr>
          <w:rFonts w:hint="eastAsia" w:ascii="仿宋_GB2312" w:eastAsia="仿宋_GB2312"/>
          <w:sz w:val="32"/>
          <w:szCs w:val="32"/>
        </w:rPr>
        <w:t>不接受联合体参选。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ˎ̥_GB2312" w:eastAsia="仿宋_GB2312" w:cs="宋体"/>
          <w:kern w:val="0"/>
          <w:sz w:val="32"/>
          <w:szCs w:val="32"/>
        </w:rPr>
      </w:pPr>
      <w:r>
        <w:rPr>
          <w:rFonts w:hint="eastAsia" w:ascii="黑体" w:hAnsi="ˎ̥_GB2312" w:eastAsia="黑体" w:cs="宋体"/>
          <w:kern w:val="0"/>
          <w:sz w:val="32"/>
          <w:szCs w:val="32"/>
        </w:rPr>
        <w:t>三、比选报名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hint="eastAsia" w:ascii="仿宋_GB2312" w:eastAsia="仿宋_GB2312"/>
          <w:sz w:val="32"/>
          <w:szCs w:val="32"/>
        </w:rPr>
        <w:t>请于2020年11月5日至11月9日上午9:00-12:00时，下午14:00－17:00时，到成都市武侯区环球时代中心1号楼皇庭国际中心11楼报名并领取比选资料。</w:t>
      </w:r>
    </w:p>
    <w:p>
      <w:pPr>
        <w:keepNext w:val="0"/>
        <w:keepLines w:val="0"/>
        <w:pageBreakBefore w:val="0"/>
        <w:widowControl w:val="0"/>
        <w:kinsoku/>
        <w:wordWrap/>
        <w:overflowPunct/>
        <w:topLinePunct w:val="0"/>
        <w:autoSpaceDE/>
        <w:autoSpaceDN/>
        <w:bidi w:val="0"/>
        <w:adjustRightInd/>
        <w:snapToGrid/>
        <w:spacing w:line="579" w:lineRule="exact"/>
        <w:ind w:left="479" w:leftChars="228"/>
        <w:textAlignment w:val="auto"/>
        <w:rPr>
          <w:rFonts w:ascii="Verdana" w:hAnsi="Verdana" w:cs="宋体"/>
          <w:kern w:val="0"/>
          <w:sz w:val="32"/>
          <w:szCs w:val="32"/>
        </w:rPr>
      </w:pPr>
      <w:r>
        <w:rPr>
          <w:rFonts w:hint="eastAsia" w:ascii="黑体" w:eastAsia="黑体"/>
          <w:sz w:val="32"/>
          <w:szCs w:val="32"/>
        </w:rPr>
        <w:t>四、</w:t>
      </w:r>
      <w:r>
        <w:rPr>
          <w:rFonts w:hint="eastAsia" w:ascii="黑体" w:hAnsi="ˎ̥_GB2312" w:eastAsia="黑体" w:cs="宋体"/>
          <w:kern w:val="0"/>
          <w:sz w:val="32"/>
          <w:szCs w:val="32"/>
        </w:rPr>
        <w:t>报名需提交的材料</w:t>
      </w:r>
    </w:p>
    <w:p>
      <w:pPr>
        <w:keepNext w:val="0"/>
        <w:keepLines w:val="0"/>
        <w:pageBreakBefore w:val="0"/>
        <w:widowControl w:val="0"/>
        <w:numPr>
          <w:numId w:val="0"/>
        </w:numPr>
        <w:tabs>
          <w:tab w:val="left" w:pos="482"/>
        </w:tabs>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w:t>
      </w:r>
      <w:r>
        <w:rPr>
          <w:rFonts w:hint="eastAsia" w:ascii="仿宋_GB2312" w:eastAsia="仿宋_GB2312"/>
          <w:sz w:val="32"/>
          <w:szCs w:val="32"/>
        </w:rPr>
        <w:t>执业许可证、营业执照副本</w:t>
      </w:r>
      <w:r>
        <w:rPr>
          <w:rFonts w:hint="eastAsia" w:ascii="仿宋_GB2312" w:eastAsia="仿宋_GB2312"/>
          <w:sz w:val="32"/>
          <w:szCs w:val="32"/>
          <w:u w:val="single"/>
        </w:rPr>
        <w:t>留加盖鲜章的复印件</w:t>
      </w:r>
      <w:r>
        <w:rPr>
          <w:rFonts w:hint="eastAsia" w:ascii="仿宋_GB2312" w:eastAsia="仿宋_GB2312"/>
          <w:sz w:val="32"/>
          <w:szCs w:val="32"/>
        </w:rPr>
        <w:t>；</w:t>
      </w:r>
    </w:p>
    <w:p>
      <w:pPr>
        <w:keepNext w:val="0"/>
        <w:keepLines w:val="0"/>
        <w:pageBreakBefore w:val="0"/>
        <w:widowControl w:val="0"/>
        <w:numPr>
          <w:numId w:val="0"/>
        </w:numPr>
        <w:tabs>
          <w:tab w:val="left" w:pos="482"/>
        </w:tabs>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w:t>
      </w:r>
      <w:r>
        <w:rPr>
          <w:rFonts w:hint="eastAsia" w:ascii="仿宋_GB2312" w:eastAsia="仿宋_GB2312"/>
          <w:sz w:val="32"/>
          <w:szCs w:val="32"/>
        </w:rPr>
        <w:t>保密承诺函；</w:t>
      </w:r>
    </w:p>
    <w:p>
      <w:pPr>
        <w:keepNext w:val="0"/>
        <w:keepLines w:val="0"/>
        <w:pageBreakBefore w:val="0"/>
        <w:widowControl w:val="0"/>
        <w:numPr>
          <w:numId w:val="0"/>
        </w:numPr>
        <w:tabs>
          <w:tab w:val="left" w:pos="482"/>
        </w:tabs>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lang w:eastAsia="zh-CN"/>
        </w:rPr>
        <w:t>）</w:t>
      </w:r>
      <w:r>
        <w:rPr>
          <w:rFonts w:hint="eastAsia" w:ascii="仿宋_GB2312" w:eastAsia="仿宋_GB2312"/>
          <w:sz w:val="32"/>
          <w:szCs w:val="32"/>
        </w:rPr>
        <w:t>单位介绍信原件，经办人身份证原件</w:t>
      </w:r>
      <w:r>
        <w:rPr>
          <w:rFonts w:hint="eastAsia" w:ascii="仿宋_GB2312" w:eastAsia="仿宋_GB2312"/>
          <w:sz w:val="32"/>
          <w:szCs w:val="32"/>
          <w:u w:val="single"/>
        </w:rPr>
        <w:t>留加盖鲜章的复印件</w:t>
      </w:r>
      <w:r>
        <w:rPr>
          <w:rFonts w:hint="eastAsia" w:ascii="仿宋_GB2312" w:eastAsia="仿宋_GB2312"/>
          <w:sz w:val="32"/>
          <w:szCs w:val="32"/>
        </w:rPr>
        <w:t>；</w:t>
      </w:r>
    </w:p>
    <w:p>
      <w:pPr>
        <w:keepNext w:val="0"/>
        <w:keepLines w:val="0"/>
        <w:pageBreakBefore w:val="0"/>
        <w:widowControl w:val="0"/>
        <w:numPr>
          <w:numId w:val="0"/>
        </w:numPr>
        <w:tabs>
          <w:tab w:val="left" w:pos="482"/>
        </w:tabs>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lang w:eastAsia="zh-CN"/>
        </w:rPr>
        <w:t>）</w:t>
      </w:r>
      <w:r>
        <w:rPr>
          <w:rFonts w:hint="eastAsia" w:ascii="仿宋_GB2312" w:eastAsia="仿宋_GB2312"/>
          <w:sz w:val="32"/>
          <w:szCs w:val="32"/>
        </w:rPr>
        <w:t>提供大型产业投资公司及数字经济和电子信息企业同类型十四五”发展战略与规划项目案例不少于1个。</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ˎ̥_GB2312" w:eastAsia="黑体" w:cs="宋体"/>
          <w:kern w:val="0"/>
          <w:sz w:val="32"/>
          <w:szCs w:val="32"/>
        </w:rPr>
      </w:pPr>
      <w:r>
        <w:rPr>
          <w:rFonts w:hint="eastAsia" w:ascii="黑体" w:hAnsi="ˎ̥_GB2312" w:eastAsia="黑体" w:cs="宋体"/>
          <w:kern w:val="0"/>
          <w:sz w:val="32"/>
          <w:szCs w:val="32"/>
        </w:rPr>
        <w:t>五、递交比选申请文件截止时间及地点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hint="eastAsia" w:ascii="仿宋_GB2312" w:eastAsia="仿宋_GB2312"/>
          <w:sz w:val="32"/>
          <w:szCs w:val="32"/>
        </w:rPr>
        <w:t>接受比选申请文件的截止时间为2020年11月10日10:00 ，比选申请文件必须在此规定时间之前专人送达成都市武侯区环球时代中心1号楼皇庭国际中心11楼。比选申请文件正本一套副本一套，文件袋标注项目、机构名称，密封条加盖单位鲜章。迟到的比选申请文件、未按照要求密封的比选申请文件，比选人予以拒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hint="eastAsia" w:ascii="仿宋_GB2312" w:eastAsia="仿宋_GB2312"/>
          <w:sz w:val="32"/>
          <w:szCs w:val="32"/>
        </w:rPr>
        <w:t>比选人定于北京时间2020年11月10日10:00 在成都市武侯区环球时代中心1号楼皇庭国际中心11楼1113会议室举行比选申请文件开启仪式，比选人邀请已递交比选申请文件的中介机构到现场监督，中介机构法定代表人或授权代理人应当对本单位递交的比选申请文件开启情况签字确认。</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hint="eastAsia" w:ascii="仿宋_GB2312" w:eastAsia="仿宋_GB2312"/>
          <w:sz w:val="32"/>
          <w:szCs w:val="32"/>
        </w:rPr>
        <w:t>以上内容如有变化，比选人将另行通知。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ˎ̥_GB2312" w:eastAsia="黑体" w:cs="宋体"/>
          <w:kern w:val="0"/>
          <w:sz w:val="32"/>
          <w:szCs w:val="32"/>
        </w:rPr>
      </w:pPr>
      <w:r>
        <w:rPr>
          <w:rFonts w:hint="eastAsia" w:ascii="黑体" w:hAnsi="ˎ̥_GB2312" w:eastAsia="黑体" w:cs="宋体"/>
          <w:kern w:val="0"/>
          <w:sz w:val="32"/>
          <w:szCs w:val="32"/>
        </w:rPr>
        <w:t>六、公告发布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hint="eastAsia" w:ascii="仿宋_GB2312" w:eastAsia="仿宋_GB2312"/>
          <w:sz w:val="32"/>
          <w:szCs w:val="32"/>
        </w:rPr>
        <w:t>本次比选公告发布媒介：川投信息产业集团有限公司官网和四川省投资集团有限责任公司官网。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ˎ̥_GB2312" w:eastAsia="黑体" w:cs="宋体"/>
          <w:kern w:val="0"/>
          <w:sz w:val="32"/>
          <w:szCs w:val="32"/>
        </w:rPr>
      </w:pPr>
      <w:r>
        <w:rPr>
          <w:rFonts w:hint="eastAsia" w:ascii="黑体" w:hAnsi="ˎ̥_GB2312" w:eastAsia="黑体" w:cs="宋体"/>
          <w:kern w:val="0"/>
          <w:sz w:val="32"/>
          <w:szCs w:val="32"/>
        </w:rPr>
        <w:t>七、联系方式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hint="eastAsia" w:ascii="仿宋_GB2312" w:eastAsia="仿宋_GB2312"/>
          <w:sz w:val="32"/>
          <w:szCs w:val="32"/>
        </w:rPr>
        <w:t>比 选 人：川投信息产业集团有限公司</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hint="eastAsia" w:ascii="仿宋_GB2312" w:eastAsia="仿宋_GB2312"/>
          <w:sz w:val="32"/>
          <w:szCs w:val="32"/>
        </w:rPr>
        <w:t>地    址：成都市武侯区环球时代中心1号楼皇庭国际中心11楼</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邮政编码：610000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hint="eastAsia" w:ascii="仿宋_GB2312" w:eastAsia="仿宋_GB2312"/>
          <w:sz w:val="32"/>
          <w:szCs w:val="32"/>
        </w:rPr>
        <w:t>联 系 人：杨雪丹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hint="eastAsia" w:ascii="仿宋_GB2312" w:eastAsia="仿宋_GB2312"/>
          <w:sz w:val="32"/>
          <w:szCs w:val="32"/>
        </w:rPr>
        <w:t>联系电话：18161047897</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hint="eastAsia" w:ascii="仿宋_GB2312" w:eastAsia="仿宋_GB2312"/>
          <w:sz w:val="32"/>
          <w:szCs w:val="32"/>
        </w:rPr>
        <w:t>电子邮箱：yangxuedan9@163.com</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right="480"/>
        <w:jc w:val="right"/>
        <w:rPr>
          <w:rFonts w:ascii="仿宋_GB2312" w:eastAsia="仿宋_GB2312"/>
          <w:sz w:val="32"/>
          <w:szCs w:val="32"/>
        </w:rPr>
      </w:pPr>
      <w:r>
        <w:rPr>
          <w:rFonts w:hint="eastAsia" w:ascii="仿宋_GB2312" w:eastAsia="仿宋_GB2312"/>
          <w:sz w:val="32"/>
          <w:szCs w:val="32"/>
        </w:rPr>
        <w:t>川投信息产业集团有限公司</w:t>
      </w:r>
    </w:p>
    <w:p>
      <w:pPr>
        <w:ind w:right="720"/>
        <w:jc w:val="right"/>
        <w:rPr>
          <w:sz w:val="32"/>
          <w:szCs w:val="32"/>
        </w:rPr>
      </w:pPr>
      <w:r>
        <w:rPr>
          <w:rFonts w:ascii="仿宋_GB2312" w:eastAsia="仿宋_GB2312"/>
          <w:sz w:val="32"/>
          <w:szCs w:val="32"/>
        </w:rPr>
        <w:t>20</w:t>
      </w:r>
      <w:r>
        <w:rPr>
          <w:rFonts w:hint="eastAsia" w:ascii="仿宋_GB2312" w:eastAsia="仿宋_GB2312"/>
          <w:sz w:val="32"/>
          <w:szCs w:val="32"/>
        </w:rPr>
        <w:t>20年11月5日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_GB2312">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Swis721 WGL4 BT">
    <w:panose1 w:val="020B0504020202020204"/>
    <w:charset w:val="00"/>
    <w:family w:val="auto"/>
    <w:pitch w:val="default"/>
    <w:sig w:usb0="00000287" w:usb1="00000000" w:usb2="00000000" w:usb3="00000000" w:csb0="4000009F" w:csb1="DFD70000"/>
  </w:font>
  <w:font w:name="Swis721 BlkCn BT">
    <w:panose1 w:val="020B0806030502040204"/>
    <w:charset w:val="00"/>
    <w:family w:val="auto"/>
    <w:pitch w:val="default"/>
    <w:sig w:usb0="800000AF" w:usb1="1000204A" w:usb2="00000000" w:usb3="00000000" w:csb0="00000011" w:csb1="00000000"/>
  </w:font>
  <w:font w:name="Sitka Banner">
    <w:panose1 w:val="02000505000000020004"/>
    <w:charset w:val="00"/>
    <w:family w:val="auto"/>
    <w:pitch w:val="default"/>
    <w:sig w:usb0="A00002EF" w:usb1="4000204B" w:usb2="00000000" w:usb3="00000000" w:csb0="2000019F" w:csb1="00000000"/>
  </w:font>
  <w:font w:name="OCR-A BT">
    <w:panose1 w:val="020F0501020204020304"/>
    <w:charset w:val="00"/>
    <w:family w:val="auto"/>
    <w:pitch w:val="default"/>
    <w:sig w:usb0="00000003"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33850"/>
    <w:multiLevelType w:val="multilevel"/>
    <w:tmpl w:val="63033850"/>
    <w:lvl w:ilvl="0" w:tentative="0">
      <w:start w:val="1"/>
      <w:numFmt w:val="chineseCountingThousand"/>
      <w:pStyle w:val="3"/>
      <w:suff w:val="nothing"/>
      <w:lvlText w:val="第%1章  "/>
      <w:lvlJc w:val="left"/>
      <w:pPr>
        <w:ind w:left="0" w:firstLine="0"/>
      </w:pPr>
      <w:rPr>
        <w:rFonts w:hint="eastAsia"/>
      </w:rPr>
    </w:lvl>
    <w:lvl w:ilvl="1" w:tentative="0">
      <w:start w:val="1"/>
      <w:numFmt w:val="chineseCountingThousand"/>
      <w:suff w:val="nothing"/>
      <w:lvlText w:val="第%2节"/>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AF756A"/>
    <w:rsid w:val="00063B80"/>
    <w:rsid w:val="001B0B3E"/>
    <w:rsid w:val="001E38A2"/>
    <w:rsid w:val="002151E2"/>
    <w:rsid w:val="0033330F"/>
    <w:rsid w:val="00463B30"/>
    <w:rsid w:val="005A474A"/>
    <w:rsid w:val="00770C41"/>
    <w:rsid w:val="007817FA"/>
    <w:rsid w:val="00BF2EC9"/>
    <w:rsid w:val="00C143D7"/>
    <w:rsid w:val="092F2290"/>
    <w:rsid w:val="1AE30B0A"/>
    <w:rsid w:val="66AF756A"/>
    <w:rsid w:val="7A920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autoSpaceDE w:val="0"/>
      <w:autoSpaceDN w:val="0"/>
      <w:adjustRightInd w:val="0"/>
      <w:snapToGrid w:val="0"/>
      <w:spacing w:before="120" w:after="120" w:line="440" w:lineRule="atLeast"/>
      <w:jc w:val="center"/>
      <w:outlineLvl w:val="0"/>
    </w:pPr>
    <w:rPr>
      <w:rFonts w:eastAsia="黑体"/>
      <w:b/>
      <w:bCs/>
      <w:sz w:val="32"/>
      <w:szCs w:val="3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15" w:lineRule="atLeast"/>
      <w:ind w:firstLine="420"/>
      <w:textAlignment w:val="baseline"/>
    </w:pPr>
    <w:rPr>
      <w:rFonts w:ascii="宋体"/>
      <w:kern w:val="0"/>
      <w:sz w:val="24"/>
      <w:szCs w:val="20"/>
    </w:rPr>
  </w:style>
  <w:style w:type="paragraph" w:styleId="4">
    <w:name w:val="Balloon Text"/>
    <w:basedOn w:val="1"/>
    <w:link w:val="9"/>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批注框文本 字符"/>
    <w:basedOn w:val="8"/>
    <w:link w:val="4"/>
    <w:qFormat/>
    <w:uiPriority w:val="0"/>
    <w:rPr>
      <w:rFonts w:ascii="Times New Roman" w:hAnsi="Times New Roman"/>
      <w:kern w:val="2"/>
      <w:sz w:val="18"/>
      <w:szCs w:val="18"/>
    </w:rPr>
  </w:style>
  <w:style w:type="character" w:customStyle="1" w:styleId="10">
    <w:name w:val="页眉 字符"/>
    <w:basedOn w:val="8"/>
    <w:link w:val="6"/>
    <w:qFormat/>
    <w:uiPriority w:val="0"/>
    <w:rPr>
      <w:rFonts w:ascii="Times New Roman" w:hAnsi="Times New Roman"/>
      <w:kern w:val="2"/>
      <w:sz w:val="18"/>
      <w:szCs w:val="18"/>
    </w:rPr>
  </w:style>
  <w:style w:type="character" w:customStyle="1" w:styleId="11">
    <w:name w:val="页脚 字符"/>
    <w:basedOn w:val="8"/>
    <w:link w:val="5"/>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211</Words>
  <Characters>1206</Characters>
  <Lines>10</Lines>
  <Paragraphs>2</Paragraphs>
  <TotalTime>215</TotalTime>
  <ScaleCrop>false</ScaleCrop>
  <LinksUpToDate>false</LinksUpToDate>
  <CharactersWithSpaces>1415</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2020-11-04T03:29:00Z</dcterms:created>
  <dc:creator>九湛</dc:creator>
  <cp:lastModifiedBy>江涛</cp:lastModifiedBy>
  <cp:lastPrinted>2020-11-05T08:03:00Z</cp:lastPrinted>
  <dcterms:modified xsi:type="dcterms:W3CDTF">2020-11-05T10:22:12Z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